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5AB" w14:textId="43E769AD" w:rsidR="00AA60ED" w:rsidRPr="00100403" w:rsidRDefault="00AA60ED" w:rsidP="005B4D55">
      <w:pPr>
        <w:jc w:val="both"/>
        <w:rPr>
          <w:rFonts w:ascii="Century Gothic" w:hAnsi="Century Gothic"/>
          <w:b/>
          <w:sz w:val="20"/>
          <w:szCs w:val="20"/>
        </w:rPr>
      </w:pPr>
      <w:r w:rsidRPr="00100403">
        <w:rPr>
          <w:rFonts w:ascii="Century Gothic" w:hAnsi="Century Gothic"/>
          <w:b/>
          <w:sz w:val="20"/>
          <w:szCs w:val="20"/>
        </w:rPr>
        <w:t>Vance Hughston SC, Sixth Floor Windeyer Chambers</w:t>
      </w:r>
    </w:p>
    <w:p w14:paraId="5AA4084C" w14:textId="500FB4DF" w:rsidR="00AA60ED" w:rsidRPr="00100403" w:rsidRDefault="00AA60ED" w:rsidP="005B4D55">
      <w:pPr>
        <w:rPr>
          <w:rFonts w:ascii="Century Gothic" w:hAnsi="Century Gothic"/>
          <w:color w:val="000000" w:themeColor="text1"/>
          <w:sz w:val="20"/>
          <w:szCs w:val="20"/>
        </w:rPr>
      </w:pP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Vance Hughston SC </w:t>
      </w:r>
      <w:r w:rsidR="009652B8">
        <w:rPr>
          <w:rFonts w:ascii="Century Gothic" w:hAnsi="Century Gothic"/>
          <w:color w:val="000000" w:themeColor="text1"/>
          <w:sz w:val="20"/>
          <w:szCs w:val="20"/>
        </w:rPr>
        <w:t xml:space="preserve">was called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to the NSW Bar in 1982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a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nd was appointed Senior Counsel in 2001. His areas of practice include appellate, commercial, equity, native title,</w:t>
      </w:r>
      <w:r w:rsidR="00903AB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gramStart"/>
      <w:r w:rsidRPr="00100403">
        <w:rPr>
          <w:rFonts w:ascii="Century Gothic" w:hAnsi="Century Gothic"/>
          <w:color w:val="000000" w:themeColor="text1"/>
          <w:sz w:val="20"/>
          <w:szCs w:val="20"/>
        </w:rPr>
        <w:t>property</w:t>
      </w:r>
      <w:proofErr w:type="gramEnd"/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and 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>public</w:t>
      </w:r>
      <w:r w:rsidR="0027271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law. Mr Hughston has practised extensively as a trial lawyer in native title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, common </w:t>
      </w:r>
      <w:proofErr w:type="gramStart"/>
      <w:r w:rsidR="009624E5">
        <w:rPr>
          <w:rFonts w:ascii="Century Gothic" w:hAnsi="Century Gothic"/>
          <w:color w:val="000000" w:themeColor="text1"/>
          <w:sz w:val="20"/>
          <w:szCs w:val="20"/>
        </w:rPr>
        <w:t>law</w:t>
      </w:r>
      <w:proofErr w:type="gramEnd"/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 and commercial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matters. He </w:t>
      </w:r>
      <w:r w:rsidR="007A21C4">
        <w:rPr>
          <w:rFonts w:ascii="Century Gothic" w:hAnsi="Century Gothic"/>
          <w:color w:val="000000" w:themeColor="text1"/>
          <w:sz w:val="20"/>
          <w:szCs w:val="20"/>
        </w:rPr>
        <w:t xml:space="preserve">has a considerable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appellate</w:t>
      </w:r>
      <w:r w:rsidR="007A21C4">
        <w:rPr>
          <w:rFonts w:ascii="Century Gothic" w:hAnsi="Century Gothic"/>
          <w:color w:val="000000" w:themeColor="text1"/>
          <w:sz w:val="20"/>
          <w:szCs w:val="20"/>
        </w:rPr>
        <w:t xml:space="preserve"> practice and has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argu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>e</w:t>
      </w:r>
      <w:r w:rsidR="007A21C4">
        <w:rPr>
          <w:rFonts w:ascii="Century Gothic" w:hAnsi="Century Gothic"/>
          <w:color w:val="000000" w:themeColor="text1"/>
          <w:sz w:val="20"/>
          <w:szCs w:val="20"/>
        </w:rPr>
        <w:t>d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A21C4">
        <w:rPr>
          <w:rFonts w:ascii="Century Gothic" w:hAnsi="Century Gothic"/>
          <w:color w:val="000000" w:themeColor="text1"/>
          <w:sz w:val="20"/>
          <w:szCs w:val="20"/>
        </w:rPr>
        <w:t>numerous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cases before </w:t>
      </w:r>
      <w:r w:rsidR="00D002EB" w:rsidRPr="00100403">
        <w:rPr>
          <w:rFonts w:ascii="Century Gothic" w:hAnsi="Century Gothic"/>
          <w:color w:val="000000" w:themeColor="text1"/>
          <w:sz w:val="20"/>
          <w:szCs w:val="20"/>
        </w:rPr>
        <w:t>the High Court</w:t>
      </w:r>
      <w:r w:rsidR="00D002EB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the Full Federal Court, the NSW Court of </w:t>
      </w:r>
      <w:proofErr w:type="gramStart"/>
      <w:r w:rsidRPr="00100403">
        <w:rPr>
          <w:rFonts w:ascii="Century Gothic" w:hAnsi="Century Gothic"/>
          <w:color w:val="000000" w:themeColor="text1"/>
          <w:sz w:val="20"/>
          <w:szCs w:val="20"/>
        </w:rPr>
        <w:t>Appeal</w:t>
      </w:r>
      <w:proofErr w:type="gramEnd"/>
      <w:r w:rsidR="00D002EB">
        <w:rPr>
          <w:rFonts w:ascii="Century Gothic" w:hAnsi="Century Gothic"/>
          <w:color w:val="000000" w:themeColor="text1"/>
          <w:sz w:val="20"/>
          <w:szCs w:val="20"/>
        </w:rPr>
        <w:t xml:space="preserve"> and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the Full Court of the Supreme Court of South Australia. In more recent years, 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>most</w:t>
      </w:r>
      <w:r w:rsidR="00D002EB">
        <w:rPr>
          <w:rFonts w:ascii="Century Gothic" w:hAnsi="Century Gothic"/>
          <w:color w:val="000000" w:themeColor="text1"/>
          <w:sz w:val="20"/>
          <w:szCs w:val="20"/>
        </w:rPr>
        <w:t xml:space="preserve"> of Mr </w:t>
      </w:r>
      <w:proofErr w:type="spellStart"/>
      <w:r w:rsidR="00D002EB">
        <w:rPr>
          <w:rFonts w:ascii="Century Gothic" w:hAnsi="Century Gothic"/>
          <w:color w:val="000000" w:themeColor="text1"/>
          <w:sz w:val="20"/>
          <w:szCs w:val="20"/>
        </w:rPr>
        <w:t>Hughston’s</w:t>
      </w:r>
      <w:proofErr w:type="spellEnd"/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trial and appellate work</w:t>
      </w:r>
      <w:r w:rsidR="007A21C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has 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>been in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native title</w:t>
      </w:r>
      <w:r w:rsidR="00C10AB5">
        <w:rPr>
          <w:rFonts w:ascii="Century Gothic" w:hAnsi="Century Gothic"/>
          <w:color w:val="000000" w:themeColor="text1"/>
          <w:sz w:val="20"/>
          <w:szCs w:val="20"/>
        </w:rPr>
        <w:t>, Aboriginal land rights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and</w:t>
      </w:r>
      <w:r w:rsidR="00903AB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related areas</w:t>
      </w:r>
      <w:r w:rsidR="00C10AB5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>including heritage protection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>He has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a national practice 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>and has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10AB5">
        <w:rPr>
          <w:rFonts w:ascii="Century Gothic" w:hAnsi="Century Gothic"/>
          <w:color w:val="000000" w:themeColor="text1"/>
          <w:sz w:val="20"/>
          <w:szCs w:val="20"/>
        </w:rPr>
        <w:t xml:space="preserve">both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 xml:space="preserve">advised and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appear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>ed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for 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First Nation Peoples,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>the Commonwealth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 State </w:t>
      </w:r>
      <w:proofErr w:type="gramStart"/>
      <w:r w:rsidRPr="00100403">
        <w:rPr>
          <w:rFonts w:ascii="Century Gothic" w:hAnsi="Century Gothic"/>
          <w:color w:val="000000" w:themeColor="text1"/>
          <w:sz w:val="20"/>
          <w:szCs w:val="20"/>
        </w:rPr>
        <w:t>Government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>s</w:t>
      </w:r>
      <w:proofErr w:type="gramEnd"/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 and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>the private sector,</w:t>
      </w:r>
      <w:r w:rsidR="009624E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in </w:t>
      </w:r>
      <w:r w:rsidR="00C10AB5">
        <w:rPr>
          <w:rFonts w:ascii="Century Gothic" w:hAnsi="Century Gothic"/>
          <w:color w:val="000000" w:themeColor="text1"/>
          <w:sz w:val="20"/>
          <w:szCs w:val="20"/>
        </w:rPr>
        <w:t>most States and Territories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. Mr Hughston has argued the following native title cases</w:t>
      </w:r>
      <w:r w:rsidR="009A6B81" w:rsidRPr="009A6B8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as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>Senior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>C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>ounsel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before the High Court</w:t>
      </w:r>
      <w:r w:rsidR="00D85027" w:rsidRPr="00100403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Members of the Yorta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Yorta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Aboriginal Community v Victoria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(2002) 214 CLR 422;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Karpany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v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Dietman</w:t>
      </w:r>
      <w:proofErr w:type="spellEnd"/>
      <w:r w:rsidR="00D85027"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[2013] HCA 47;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Wilson v Anderson</w:t>
      </w:r>
      <w:r w:rsidR="00D85027"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(2002)</w:t>
      </w:r>
      <w:r w:rsidR="00D85027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213 CLR 401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. He 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has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 xml:space="preserve">been led 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>in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>other cases in the High Court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that have 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>involv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>ed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the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 interpretation and the application of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 xml:space="preserve"> the</w:t>
      </w:r>
      <w:r w:rsidR="00293C9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93C92" w:rsidRPr="009A6B81">
        <w:rPr>
          <w:rFonts w:ascii="Century Gothic" w:hAnsi="Century Gothic"/>
          <w:i/>
          <w:iCs/>
          <w:color w:val="000000" w:themeColor="text1"/>
          <w:sz w:val="20"/>
          <w:szCs w:val="20"/>
        </w:rPr>
        <w:t>Native Title Act</w:t>
      </w:r>
      <w:r w:rsidR="009A6B81" w:rsidRPr="009A6B81">
        <w:rPr>
          <w:rFonts w:ascii="Century Gothic" w:hAnsi="Century Gothic"/>
          <w:i/>
          <w:iCs/>
          <w:color w:val="000000" w:themeColor="text1"/>
          <w:sz w:val="20"/>
          <w:szCs w:val="20"/>
        </w:rPr>
        <w:t>, 1993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 (</w:t>
      </w:r>
      <w:proofErr w:type="spellStart"/>
      <w:r w:rsidR="009A6B81">
        <w:rPr>
          <w:rFonts w:ascii="Century Gothic" w:hAnsi="Century Gothic"/>
          <w:color w:val="000000" w:themeColor="text1"/>
          <w:sz w:val="20"/>
          <w:szCs w:val="20"/>
        </w:rPr>
        <w:t>Cth</w:t>
      </w:r>
      <w:proofErr w:type="spellEnd"/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) and the </w:t>
      </w:r>
      <w:r w:rsidR="009A6B81" w:rsidRPr="009A6B81">
        <w:rPr>
          <w:rFonts w:ascii="Century Gothic" w:hAnsi="Century Gothic"/>
          <w:i/>
          <w:iCs/>
          <w:color w:val="000000" w:themeColor="text1"/>
          <w:sz w:val="20"/>
          <w:szCs w:val="20"/>
        </w:rPr>
        <w:t>Aboriginal Land Rights (Northern Territory) Act, 1976</w:t>
      </w:r>
      <w:r w:rsidR="009A6B81">
        <w:rPr>
          <w:rFonts w:ascii="Century Gothic" w:hAnsi="Century Gothic"/>
          <w:color w:val="000000" w:themeColor="text1"/>
          <w:sz w:val="20"/>
          <w:szCs w:val="20"/>
        </w:rPr>
        <w:t xml:space="preserve"> (</w:t>
      </w:r>
      <w:proofErr w:type="spellStart"/>
      <w:r w:rsidR="009A6B81">
        <w:rPr>
          <w:rFonts w:ascii="Century Gothic" w:hAnsi="Century Gothic"/>
          <w:color w:val="000000" w:themeColor="text1"/>
          <w:sz w:val="20"/>
          <w:szCs w:val="20"/>
        </w:rPr>
        <w:t>Cth</w:t>
      </w:r>
      <w:proofErr w:type="spellEnd"/>
      <w:r w:rsidR="009A6B81">
        <w:rPr>
          <w:rFonts w:ascii="Century Gothic" w:hAnsi="Century Gothic"/>
          <w:color w:val="000000" w:themeColor="text1"/>
          <w:sz w:val="20"/>
          <w:szCs w:val="20"/>
        </w:rPr>
        <w:t>)</w:t>
      </w:r>
      <w:r w:rsidR="00100403">
        <w:rPr>
          <w:rFonts w:ascii="Century Gothic" w:hAnsi="Century Gothic"/>
          <w:color w:val="000000" w:themeColor="text1"/>
          <w:sz w:val="20"/>
          <w:szCs w:val="20"/>
        </w:rPr>
        <w:t>. I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n </w:t>
      </w:r>
      <w:r w:rsidR="00272718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Yorta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Yorta</w:t>
      </w:r>
      <w:proofErr w:type="spellEnd"/>
      <w:r w:rsidR="00272718">
        <w:rPr>
          <w:rFonts w:ascii="Century Gothic" w:hAnsi="Century Gothic"/>
          <w:color w:val="000000" w:themeColor="text1"/>
          <w:sz w:val="20"/>
          <w:szCs w:val="20"/>
        </w:rPr>
        <w:t xml:space="preserve"> case,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Mr Hughston 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 xml:space="preserve">successfully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appeared at the trial (which went for more than 100 days) and on the</w:t>
      </w:r>
      <w:r w:rsidR="00F83304">
        <w:rPr>
          <w:rFonts w:ascii="Century Gothic" w:hAnsi="Century Gothic"/>
          <w:color w:val="000000" w:themeColor="text1"/>
          <w:sz w:val="20"/>
          <w:szCs w:val="20"/>
        </w:rPr>
        <w:t xml:space="preserve"> successive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appeals to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the Full Federal Court and the High Court. 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>O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ther native title cases in which Mr Hughston has appeared at both the trial and</w:t>
      </w:r>
      <w:r w:rsidR="00D002EB">
        <w:rPr>
          <w:rFonts w:ascii="Century Gothic" w:hAnsi="Century Gothic"/>
          <w:color w:val="000000" w:themeColor="text1"/>
          <w:sz w:val="20"/>
          <w:szCs w:val="20"/>
        </w:rPr>
        <w:t xml:space="preserve"> on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B0481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subsequent appeal</w:t>
      </w:r>
      <w:r w:rsidR="00244A7D">
        <w:rPr>
          <w:rFonts w:ascii="Century Gothic" w:hAnsi="Century Gothic"/>
          <w:color w:val="000000" w:themeColor="text1"/>
          <w:sz w:val="20"/>
          <w:szCs w:val="20"/>
        </w:rPr>
        <w:t xml:space="preserve">s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include</w:t>
      </w:r>
      <w:r w:rsidR="00D85027" w:rsidRPr="00100403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652B8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Stuart v South Australia </w:t>
      </w:r>
      <w:r w:rsidR="009652B8">
        <w:rPr>
          <w:rFonts w:ascii="Century Gothic" w:hAnsi="Century Gothic"/>
          <w:color w:val="000000" w:themeColor="text1"/>
          <w:sz w:val="20"/>
          <w:szCs w:val="20"/>
        </w:rPr>
        <w:t xml:space="preserve">[2023] FCAFC 131;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Fortescue Metals Group v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Warrie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on behalf of the Yindjibarndi People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(2019) </w:t>
      </w:r>
      <w:r w:rsidR="00033960">
        <w:rPr>
          <w:rFonts w:ascii="Century Gothic" w:hAnsi="Century Gothic"/>
          <w:color w:val="000000" w:themeColor="text1"/>
          <w:sz w:val="20"/>
          <w:szCs w:val="20"/>
        </w:rPr>
        <w:t xml:space="preserve">273 </w:t>
      </w:r>
      <w:r w:rsidR="00FE246E">
        <w:rPr>
          <w:rFonts w:ascii="Century Gothic" w:hAnsi="Century Gothic"/>
          <w:color w:val="000000" w:themeColor="text1"/>
          <w:sz w:val="20"/>
          <w:szCs w:val="20"/>
        </w:rPr>
        <w:t xml:space="preserve">FCR 350;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374 ALR 448; [2019] FCAFC 177 (leave to appeal to the High Court refused);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Starkey on behalf of the Kokatha People v South Australia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(2018) 261 FCR 183; (leave to appeal to the High Court refused);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Banjima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People v Western Australia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(2015) 231 FCR 456; (leave to appeal to the High Court refused);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Bodney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v Bennell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(2008) 167 FCR 84;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CG (Deceased)on behalf of the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Badimia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People v Western Australia (No.2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)</w:t>
      </w:r>
      <w:r w:rsidR="00D85027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(2016) FCAFC 67;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Gumana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v Northern Territory</w:t>
      </w:r>
      <w:r w:rsidR="00D85027"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(2005) 141 FCR 471</w:t>
      </w:r>
      <w:r w:rsidR="00633265">
        <w:rPr>
          <w:rFonts w:ascii="Century Gothic" w:hAnsi="Century Gothic"/>
          <w:color w:val="000000" w:themeColor="text1"/>
          <w:sz w:val="20"/>
          <w:szCs w:val="20"/>
        </w:rPr>
        <w:t xml:space="preserve">; </w:t>
      </w:r>
      <w:r w:rsidR="00633265" w:rsidRPr="00633265">
        <w:rPr>
          <w:rFonts w:ascii="Century Gothic" w:hAnsi="Century Gothic"/>
          <w:i/>
          <w:iCs/>
          <w:color w:val="000000" w:themeColor="text1"/>
          <w:sz w:val="20"/>
          <w:szCs w:val="20"/>
        </w:rPr>
        <w:t>Northern Territory v Arnhem Land Aboriginal Land Trust</w:t>
      </w:r>
      <w:r w:rsidR="00633265">
        <w:rPr>
          <w:rFonts w:ascii="Century Gothic" w:hAnsi="Century Gothic"/>
          <w:color w:val="000000" w:themeColor="text1"/>
          <w:sz w:val="20"/>
          <w:szCs w:val="20"/>
        </w:rPr>
        <w:t xml:space="preserve"> [2008] HCA 29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;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Jango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v Northern Territory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(2007) 159 FCR 531</w:t>
      </w:r>
      <w:r w:rsidR="009A4F5E" w:rsidRPr="00100403">
        <w:rPr>
          <w:rFonts w:ascii="Century Gothic" w:hAnsi="Century Gothic"/>
          <w:color w:val="000000" w:themeColor="text1"/>
          <w:sz w:val="20"/>
          <w:szCs w:val="20"/>
        </w:rPr>
        <w:t>;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Risk v Northern Territory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(2007) 240 ALR 75</w:t>
      </w:r>
      <w:r w:rsidR="009A4F5E" w:rsidRPr="00100403">
        <w:rPr>
          <w:rFonts w:ascii="Century Gothic" w:hAnsi="Century Gothic"/>
          <w:color w:val="000000" w:themeColor="text1"/>
          <w:sz w:val="20"/>
          <w:szCs w:val="20"/>
        </w:rPr>
        <w:t>;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Straits Exploration (Australia) Pty Ltd v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Kokatha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Uwankara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Native Title Claimants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[2012] SASCFC 121</w:t>
      </w:r>
      <w:r w:rsidR="009A4F5E" w:rsidRPr="00100403">
        <w:rPr>
          <w:rFonts w:ascii="Century Gothic" w:hAnsi="Century Gothic"/>
          <w:color w:val="000000" w:themeColor="text1"/>
          <w:sz w:val="20"/>
          <w:szCs w:val="20"/>
        </w:rPr>
        <w:t>;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Western Australia v Graham on behalf of the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Ngadju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People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(2013) 305 ALR 452</w:t>
      </w:r>
      <w:r w:rsidR="009A4F5E" w:rsidRPr="00100403">
        <w:rPr>
          <w:rFonts w:ascii="Century Gothic" w:hAnsi="Century Gothic"/>
          <w:color w:val="000000" w:themeColor="text1"/>
          <w:sz w:val="20"/>
          <w:szCs w:val="20"/>
        </w:rPr>
        <w:t>;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Western Australia v Graham on behalf of the </w:t>
      </w:r>
      <w:proofErr w:type="spellStart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Ngadju</w:t>
      </w:r>
      <w:proofErr w:type="spellEnd"/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People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(2016) FCAFC 47</w:t>
      </w:r>
      <w:r w:rsidR="009A4F5E" w:rsidRPr="00100403">
        <w:rPr>
          <w:rFonts w:ascii="Century Gothic" w:hAnsi="Century Gothic"/>
          <w:color w:val="000000" w:themeColor="text1"/>
          <w:sz w:val="20"/>
          <w:szCs w:val="20"/>
        </w:rPr>
        <w:t>;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85027" w:rsidRPr="00100403">
        <w:rPr>
          <w:rFonts w:ascii="Century Gothic" w:hAnsi="Century Gothic"/>
          <w:color w:val="000000" w:themeColor="text1"/>
          <w:sz w:val="20"/>
          <w:szCs w:val="20"/>
        </w:rPr>
        <w:t>and</w:t>
      </w:r>
      <w:r w:rsid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>Wyman v Queensland</w:t>
      </w:r>
      <w:r w:rsidR="009A4F5E" w:rsidRPr="0010040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(2015) 235 FCR 464. Mr Hughston</w:t>
      </w:r>
      <w:r w:rsidR="00272718">
        <w:rPr>
          <w:rFonts w:ascii="Century Gothic" w:hAnsi="Century Gothic"/>
          <w:color w:val="000000" w:themeColor="text1"/>
          <w:sz w:val="20"/>
          <w:szCs w:val="20"/>
        </w:rPr>
        <w:t xml:space="preserve"> has appeared in </w:t>
      </w:r>
      <w:r w:rsidR="009652B8">
        <w:rPr>
          <w:rFonts w:ascii="Century Gothic" w:hAnsi="Century Gothic"/>
          <w:color w:val="000000" w:themeColor="text1"/>
          <w:sz w:val="20"/>
          <w:szCs w:val="20"/>
        </w:rPr>
        <w:t xml:space="preserve">many </w:t>
      </w:r>
      <w:r w:rsidR="00272718">
        <w:rPr>
          <w:rFonts w:ascii="Century Gothic" w:hAnsi="Century Gothic"/>
          <w:color w:val="000000" w:themeColor="text1"/>
          <w:sz w:val="20"/>
          <w:szCs w:val="20"/>
        </w:rPr>
        <w:t>other Full Court appeals</w:t>
      </w:r>
      <w:r w:rsidR="00F83304">
        <w:rPr>
          <w:rFonts w:ascii="Century Gothic" w:hAnsi="Century Gothic"/>
          <w:color w:val="000000" w:themeColor="text1"/>
          <w:sz w:val="20"/>
          <w:szCs w:val="20"/>
        </w:rPr>
        <w:t xml:space="preserve"> too numerous to list</w:t>
      </w:r>
      <w:r w:rsidR="00272718">
        <w:rPr>
          <w:rFonts w:ascii="Century Gothic" w:hAnsi="Century Gothic"/>
          <w:color w:val="000000" w:themeColor="text1"/>
          <w:sz w:val="20"/>
          <w:szCs w:val="20"/>
        </w:rPr>
        <w:t>. He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was a member of the Australian Law Reform Committee’s Native Title Inquiry Advisory Committee in 2014 / </w:t>
      </w:r>
      <w:proofErr w:type="gramStart"/>
      <w:r w:rsidRPr="00100403">
        <w:rPr>
          <w:rFonts w:ascii="Century Gothic" w:hAnsi="Century Gothic"/>
          <w:color w:val="000000" w:themeColor="text1"/>
          <w:sz w:val="20"/>
          <w:szCs w:val="20"/>
        </w:rPr>
        <w:t>2015</w:t>
      </w:r>
      <w:r w:rsidR="00903ABB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033960">
        <w:rPr>
          <w:rFonts w:ascii="Century Gothic" w:hAnsi="Century Gothic"/>
          <w:color w:val="000000" w:themeColor="text1"/>
          <w:sz w:val="20"/>
          <w:szCs w:val="20"/>
        </w:rPr>
        <w:t>.</w:t>
      </w:r>
      <w:proofErr w:type="gramEnd"/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33960">
        <w:rPr>
          <w:rFonts w:ascii="Century Gothic" w:hAnsi="Century Gothic"/>
          <w:color w:val="000000" w:themeColor="text1"/>
          <w:sz w:val="20"/>
          <w:szCs w:val="20"/>
        </w:rPr>
        <w:t>T</w:t>
      </w:r>
      <w:r w:rsidR="00FD6CA0">
        <w:rPr>
          <w:rFonts w:ascii="Century Gothic" w:hAnsi="Century Gothic"/>
          <w:color w:val="000000" w:themeColor="text1"/>
          <w:sz w:val="20"/>
          <w:szCs w:val="20"/>
        </w:rPr>
        <w:t>he</w:t>
      </w:r>
      <w:r w:rsidR="00FD6CA0"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3F5AFE">
        <w:rPr>
          <w:rFonts w:ascii="Century Gothic" w:hAnsi="Century Gothic"/>
          <w:color w:val="000000" w:themeColor="text1"/>
          <w:sz w:val="20"/>
          <w:szCs w:val="20"/>
        </w:rPr>
        <w:t>202</w:t>
      </w:r>
      <w:r w:rsidR="009652B8">
        <w:rPr>
          <w:rFonts w:ascii="Century Gothic" w:hAnsi="Century Gothic"/>
          <w:color w:val="000000" w:themeColor="text1"/>
          <w:sz w:val="20"/>
          <w:szCs w:val="20"/>
        </w:rPr>
        <w:t>3</w:t>
      </w:r>
      <w:r w:rsidR="003F5AF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Chambers </w:t>
      </w:r>
      <w:r w:rsidR="00FD6CA0">
        <w:rPr>
          <w:rFonts w:ascii="Century Gothic" w:hAnsi="Century Gothic"/>
          <w:color w:val="000000" w:themeColor="text1"/>
          <w:sz w:val="20"/>
          <w:szCs w:val="20"/>
        </w:rPr>
        <w:t>Asia-Pacific Guide</w:t>
      </w:r>
      <w:r w:rsidR="0003396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817CC">
        <w:rPr>
          <w:rFonts w:ascii="Century Gothic" w:hAnsi="Century Gothic"/>
          <w:color w:val="000000" w:themeColor="text1"/>
          <w:sz w:val="20"/>
          <w:szCs w:val="20"/>
        </w:rPr>
        <w:t xml:space="preserve">continues to </w:t>
      </w:r>
      <w:r w:rsidR="002F04E1">
        <w:rPr>
          <w:rFonts w:ascii="Century Gothic" w:hAnsi="Century Gothic"/>
          <w:color w:val="000000" w:themeColor="text1"/>
          <w:sz w:val="20"/>
          <w:szCs w:val="20"/>
        </w:rPr>
        <w:t>accord</w:t>
      </w:r>
      <w:r w:rsidR="00530C01">
        <w:rPr>
          <w:rFonts w:ascii="Century Gothic" w:hAnsi="Century Gothic"/>
          <w:color w:val="000000" w:themeColor="text1"/>
          <w:sz w:val="20"/>
          <w:szCs w:val="20"/>
        </w:rPr>
        <w:t xml:space="preserve"> him</w:t>
      </w:r>
      <w:r w:rsidR="002F04E1">
        <w:rPr>
          <w:rFonts w:ascii="Century Gothic" w:hAnsi="Century Gothic"/>
          <w:color w:val="000000" w:themeColor="text1"/>
          <w:sz w:val="20"/>
          <w:szCs w:val="20"/>
        </w:rPr>
        <w:t xml:space="preserve"> its highest ranking (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>Band 1</w:t>
      </w:r>
      <w:r w:rsidR="002F04E1">
        <w:rPr>
          <w:rFonts w:ascii="Century Gothic" w:hAnsi="Century Gothic"/>
          <w:color w:val="000000" w:themeColor="text1"/>
          <w:sz w:val="20"/>
          <w:szCs w:val="20"/>
        </w:rPr>
        <w:t>)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F04E1">
        <w:rPr>
          <w:rFonts w:ascii="Century Gothic" w:hAnsi="Century Gothic"/>
          <w:color w:val="000000" w:themeColor="text1"/>
          <w:sz w:val="20"/>
          <w:szCs w:val="20"/>
        </w:rPr>
        <w:t xml:space="preserve">amongst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Australia’s native title Silks.  </w:t>
      </w:r>
      <w:r w:rsidR="00633265">
        <w:rPr>
          <w:rFonts w:ascii="Century Gothic" w:hAnsi="Century Gothic"/>
          <w:color w:val="000000" w:themeColor="text1"/>
          <w:sz w:val="20"/>
          <w:szCs w:val="20"/>
        </w:rPr>
        <w:t xml:space="preserve">The 2022 </w:t>
      </w:r>
      <w:r w:rsidR="00633265" w:rsidRPr="00100403">
        <w:rPr>
          <w:rFonts w:ascii="Century Gothic" w:hAnsi="Century Gothic"/>
          <w:color w:val="000000" w:themeColor="text1"/>
          <w:sz w:val="20"/>
          <w:szCs w:val="20"/>
        </w:rPr>
        <w:t>Doyle’s Guide</w:t>
      </w:r>
      <w:r w:rsidR="0063326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817CC">
        <w:rPr>
          <w:rFonts w:ascii="Century Gothic" w:hAnsi="Century Gothic"/>
          <w:color w:val="000000" w:themeColor="text1"/>
          <w:sz w:val="20"/>
          <w:szCs w:val="20"/>
        </w:rPr>
        <w:t xml:space="preserve">continues to </w:t>
      </w:r>
      <w:r w:rsidR="00633265" w:rsidRPr="00100403">
        <w:rPr>
          <w:rFonts w:ascii="Century Gothic" w:hAnsi="Century Gothic"/>
          <w:color w:val="000000" w:themeColor="text1"/>
          <w:sz w:val="20"/>
          <w:szCs w:val="20"/>
        </w:rPr>
        <w:t>rank</w:t>
      </w:r>
      <w:r w:rsidR="00633265" w:rsidRPr="00903AB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33265" w:rsidRPr="00100403">
        <w:rPr>
          <w:rFonts w:ascii="Century Gothic" w:hAnsi="Century Gothic"/>
          <w:color w:val="000000" w:themeColor="text1"/>
          <w:sz w:val="20"/>
          <w:szCs w:val="20"/>
        </w:rPr>
        <w:t>Mr Hughston</w:t>
      </w:r>
      <w:r w:rsidR="00633265" w:rsidRPr="00903AB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33265" w:rsidRPr="00100403">
        <w:rPr>
          <w:rFonts w:ascii="Century Gothic" w:hAnsi="Century Gothic"/>
          <w:color w:val="000000" w:themeColor="text1"/>
          <w:sz w:val="20"/>
          <w:szCs w:val="20"/>
        </w:rPr>
        <w:t>as the Market Leader</w:t>
      </w:r>
      <w:r w:rsidR="00633265">
        <w:rPr>
          <w:rFonts w:ascii="Century Gothic" w:hAnsi="Century Gothic"/>
          <w:color w:val="000000" w:themeColor="text1"/>
          <w:sz w:val="20"/>
          <w:szCs w:val="20"/>
        </w:rPr>
        <w:t xml:space="preserve"> amongst Australia’s native title barristers</w:t>
      </w:r>
      <w:r w:rsidR="000817CC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Mr Hughston is </w:t>
      </w:r>
      <w:r w:rsidR="00FD6CA0">
        <w:rPr>
          <w:rFonts w:ascii="Century Gothic" w:hAnsi="Century Gothic"/>
          <w:color w:val="000000" w:themeColor="text1"/>
          <w:sz w:val="20"/>
          <w:szCs w:val="20"/>
        </w:rPr>
        <w:t xml:space="preserve">a contributor to 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Perry and Lloyd’s </w:t>
      </w:r>
      <w:r w:rsidRPr="00100403">
        <w:rPr>
          <w:rFonts w:ascii="Century Gothic" w:hAnsi="Century Gothic"/>
          <w:i/>
          <w:color w:val="000000" w:themeColor="text1"/>
          <w:sz w:val="20"/>
          <w:szCs w:val="20"/>
        </w:rPr>
        <w:t>Australian Native Title Law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(2</w:t>
      </w:r>
      <w:r w:rsidRPr="00100403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t>nd</w:t>
      </w:r>
      <w:r w:rsidRPr="00100403">
        <w:rPr>
          <w:rFonts w:ascii="Century Gothic" w:hAnsi="Century Gothic"/>
          <w:color w:val="000000" w:themeColor="text1"/>
          <w:sz w:val="20"/>
          <w:szCs w:val="20"/>
        </w:rPr>
        <w:t xml:space="preserve"> Ed.). </w:t>
      </w:r>
    </w:p>
    <w:p w14:paraId="1DA7D67E" w14:textId="61DF3076" w:rsidR="007664B9" w:rsidRPr="00D85027" w:rsidRDefault="007664B9" w:rsidP="005B4D55">
      <w:pPr>
        <w:jc w:val="both"/>
      </w:pPr>
    </w:p>
    <w:sectPr w:rsidR="007664B9" w:rsidRPr="00D85027" w:rsidSect="00DB44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CED"/>
    <w:multiLevelType w:val="hybridMultilevel"/>
    <w:tmpl w:val="1440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12268"/>
    <w:multiLevelType w:val="hybridMultilevel"/>
    <w:tmpl w:val="74BE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72104">
    <w:abstractNumId w:val="1"/>
  </w:num>
  <w:num w:numId="2" w16cid:durableId="14646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D"/>
    <w:rsid w:val="00033960"/>
    <w:rsid w:val="000817CC"/>
    <w:rsid w:val="000B0481"/>
    <w:rsid w:val="00100403"/>
    <w:rsid w:val="00244A7D"/>
    <w:rsid w:val="00272718"/>
    <w:rsid w:val="00293C92"/>
    <w:rsid w:val="002F04E1"/>
    <w:rsid w:val="003F5AFE"/>
    <w:rsid w:val="00401045"/>
    <w:rsid w:val="004E5BAF"/>
    <w:rsid w:val="00530C01"/>
    <w:rsid w:val="005B4D55"/>
    <w:rsid w:val="00633265"/>
    <w:rsid w:val="00716A13"/>
    <w:rsid w:val="007664B9"/>
    <w:rsid w:val="007A21C4"/>
    <w:rsid w:val="00903ABB"/>
    <w:rsid w:val="009624E5"/>
    <w:rsid w:val="009652B8"/>
    <w:rsid w:val="009A4F5E"/>
    <w:rsid w:val="009A6B81"/>
    <w:rsid w:val="00A8262B"/>
    <w:rsid w:val="00AA60ED"/>
    <w:rsid w:val="00B37392"/>
    <w:rsid w:val="00C10AB5"/>
    <w:rsid w:val="00C503AF"/>
    <w:rsid w:val="00D002EB"/>
    <w:rsid w:val="00D85027"/>
    <w:rsid w:val="00DB4444"/>
    <w:rsid w:val="00F83304"/>
    <w:rsid w:val="00FD6CA0"/>
    <w:rsid w:val="00FE246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49C66"/>
  <w14:defaultImageDpi w14:val="32767"/>
  <w15:chartTrackingRefBased/>
  <w15:docId w15:val="{C6588A80-205F-FA4F-A562-967961A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60ED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hughston</dc:creator>
  <cp:keywords/>
  <dc:description/>
  <cp:lastModifiedBy>vance hughston</cp:lastModifiedBy>
  <cp:revision>10</cp:revision>
  <cp:lastPrinted>2023-12-14T01:58:00Z</cp:lastPrinted>
  <dcterms:created xsi:type="dcterms:W3CDTF">2021-10-27T01:17:00Z</dcterms:created>
  <dcterms:modified xsi:type="dcterms:W3CDTF">2022-02-28T00:56:00Z</dcterms:modified>
</cp:coreProperties>
</file>